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25" w:rsidRPr="00A67CE9" w:rsidRDefault="00716C25" w:rsidP="00716C25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  <w:r w:rsidRPr="00A67CE9">
        <w:rPr>
          <w:rFonts w:ascii="Arial" w:hAnsi="Arial" w:cs="Arial"/>
          <w:b/>
          <w:noProof/>
        </w:rPr>
        <w:drawing>
          <wp:inline distT="0" distB="0" distL="0" distR="0" wp14:anchorId="3471D474" wp14:editId="0DF02442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25" w:rsidRPr="00A67CE9" w:rsidRDefault="00716C25" w:rsidP="00716C25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</w:p>
    <w:p w:rsidR="00716C25" w:rsidRPr="00A67CE9" w:rsidRDefault="00716C25" w:rsidP="00716C25">
      <w:pPr>
        <w:jc w:val="center"/>
        <w:outlineLvl w:val="0"/>
        <w:rPr>
          <w:b/>
          <w:spacing w:val="6"/>
          <w:sz w:val="28"/>
          <w:szCs w:val="28"/>
          <w:lang w:eastAsia="en-US" w:bidi="en-US"/>
        </w:rPr>
      </w:pPr>
      <w:r w:rsidRPr="00A67CE9">
        <w:rPr>
          <w:b/>
          <w:bCs/>
          <w:spacing w:val="6"/>
          <w:sz w:val="28"/>
          <w:szCs w:val="28"/>
          <w:lang w:eastAsia="en-US" w:bidi="en-US"/>
        </w:rPr>
        <w:t xml:space="preserve">АДМИНИСТРАЦИЯ СТАРБЕЛИЦКОГО СЕЛЬСОВЕТА КОНЫШЕВСКОГО РАЙОНА </w:t>
      </w:r>
      <w:r w:rsidRPr="00A67CE9">
        <w:rPr>
          <w:b/>
          <w:spacing w:val="6"/>
          <w:sz w:val="28"/>
          <w:szCs w:val="28"/>
          <w:lang w:eastAsia="en-US" w:bidi="en-US"/>
        </w:rPr>
        <w:t>КУРСКОЙ  ОБЛАСТИ</w:t>
      </w:r>
    </w:p>
    <w:p w:rsidR="00716C25" w:rsidRPr="00A67CE9" w:rsidRDefault="00716C25" w:rsidP="00716C25">
      <w:pPr>
        <w:jc w:val="center"/>
        <w:outlineLvl w:val="0"/>
        <w:rPr>
          <w:b/>
          <w:spacing w:val="6"/>
          <w:sz w:val="28"/>
          <w:szCs w:val="28"/>
          <w:lang w:eastAsia="en-US"/>
        </w:rPr>
      </w:pPr>
    </w:p>
    <w:p w:rsidR="00716C25" w:rsidRPr="00A67CE9" w:rsidRDefault="00716C25" w:rsidP="00716C25">
      <w:pPr>
        <w:jc w:val="center"/>
        <w:rPr>
          <w:spacing w:val="40"/>
          <w:sz w:val="28"/>
          <w:szCs w:val="28"/>
          <w:lang w:eastAsia="en-US" w:bidi="en-US"/>
        </w:rPr>
      </w:pPr>
      <w:r w:rsidRPr="00A67CE9">
        <w:rPr>
          <w:bCs/>
          <w:spacing w:val="40"/>
          <w:sz w:val="28"/>
          <w:szCs w:val="28"/>
          <w:lang w:eastAsia="en-US" w:bidi="ru-RU"/>
        </w:rPr>
        <w:t>ПОСТАНОВЛЕНИЕ</w:t>
      </w:r>
    </w:p>
    <w:p w:rsidR="00716C25" w:rsidRPr="00A67CE9" w:rsidRDefault="00716C25" w:rsidP="00716C25">
      <w:pPr>
        <w:autoSpaceDN w:val="0"/>
        <w:jc w:val="center"/>
        <w:rPr>
          <w:sz w:val="16"/>
          <w:szCs w:val="16"/>
          <w:lang w:eastAsia="en-US" w:bidi="en-US"/>
        </w:rPr>
      </w:pPr>
    </w:p>
    <w:p w:rsidR="00716C25" w:rsidRPr="00A67CE9" w:rsidRDefault="00716C25" w:rsidP="00716C25">
      <w:pPr>
        <w:jc w:val="center"/>
        <w:rPr>
          <w:b/>
          <w:sz w:val="28"/>
          <w:szCs w:val="28"/>
          <w:u w:val="single"/>
          <w:lang w:eastAsia="en-US" w:bidi="en-US"/>
        </w:rPr>
      </w:pPr>
      <w:r w:rsidRPr="00A67CE9">
        <w:rPr>
          <w:b/>
          <w:sz w:val="28"/>
          <w:szCs w:val="28"/>
          <w:u w:val="single"/>
          <w:lang w:eastAsia="en-US" w:bidi="en-US"/>
        </w:rPr>
        <w:t>от 10.11.2020 №4</w:t>
      </w:r>
      <w:r>
        <w:rPr>
          <w:b/>
          <w:sz w:val="28"/>
          <w:szCs w:val="28"/>
          <w:u w:val="single"/>
          <w:lang w:eastAsia="en-US" w:bidi="en-US"/>
        </w:rPr>
        <w:t>1</w:t>
      </w:r>
      <w:r w:rsidRPr="00A67CE9">
        <w:rPr>
          <w:b/>
          <w:sz w:val="28"/>
          <w:szCs w:val="28"/>
          <w:u w:val="single"/>
          <w:lang w:eastAsia="en-US" w:bidi="en-US"/>
        </w:rPr>
        <w:t xml:space="preserve">-па </w:t>
      </w:r>
    </w:p>
    <w:p w:rsidR="00716C25" w:rsidRPr="00A67CE9" w:rsidRDefault="00716C25" w:rsidP="00716C25">
      <w:pPr>
        <w:jc w:val="center"/>
        <w:rPr>
          <w:lang w:eastAsia="en-US" w:bidi="en-US"/>
        </w:rPr>
      </w:pPr>
      <w:proofErr w:type="spellStart"/>
      <w:r w:rsidRPr="00A67CE9">
        <w:rPr>
          <w:lang w:eastAsia="en-US" w:bidi="en-US"/>
        </w:rPr>
        <w:t>с</w:t>
      </w:r>
      <w:proofErr w:type="gramStart"/>
      <w:r w:rsidRPr="00A67CE9">
        <w:rPr>
          <w:lang w:eastAsia="en-US" w:bidi="en-US"/>
        </w:rPr>
        <w:t>.С</w:t>
      </w:r>
      <w:proofErr w:type="gramEnd"/>
      <w:r w:rsidRPr="00A67CE9">
        <w:rPr>
          <w:lang w:eastAsia="en-US" w:bidi="en-US"/>
        </w:rPr>
        <w:t>тарая</w:t>
      </w:r>
      <w:proofErr w:type="spellEnd"/>
      <w:r w:rsidRPr="00A67CE9">
        <w:rPr>
          <w:lang w:eastAsia="en-US" w:bidi="en-US"/>
        </w:rPr>
        <w:t xml:space="preserve"> Белица</w:t>
      </w:r>
    </w:p>
    <w:p w:rsidR="00716C25" w:rsidRPr="00A67CE9" w:rsidRDefault="00716C25" w:rsidP="00716C25">
      <w:pPr>
        <w:rPr>
          <w:b/>
          <w:sz w:val="28"/>
          <w:szCs w:val="28"/>
        </w:rPr>
      </w:pPr>
    </w:p>
    <w:p w:rsidR="00716C25" w:rsidRPr="00A67CE9" w:rsidRDefault="00716C25" w:rsidP="00716C25">
      <w:pPr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Об утверждении  муниципальной программы  «Развитие муниципальной службы в  </w:t>
      </w:r>
      <w:proofErr w:type="spellStart"/>
      <w:r w:rsidRPr="00A67CE9">
        <w:rPr>
          <w:b/>
          <w:sz w:val="28"/>
          <w:szCs w:val="28"/>
        </w:rPr>
        <w:t>Старобелицком</w:t>
      </w:r>
      <w:proofErr w:type="spellEnd"/>
      <w:r w:rsidRPr="00A67CE9">
        <w:rPr>
          <w:b/>
          <w:sz w:val="28"/>
          <w:szCs w:val="28"/>
        </w:rPr>
        <w:t xml:space="preserve">  сельсовете</w:t>
      </w:r>
    </w:p>
    <w:p w:rsidR="00716C25" w:rsidRPr="00A67CE9" w:rsidRDefault="00716C25" w:rsidP="00716C25">
      <w:pPr>
        <w:jc w:val="center"/>
        <w:rPr>
          <w:b/>
          <w:sz w:val="28"/>
          <w:szCs w:val="28"/>
        </w:rPr>
      </w:pPr>
      <w:proofErr w:type="spellStart"/>
      <w:r w:rsidRPr="00A67CE9">
        <w:rPr>
          <w:b/>
          <w:sz w:val="28"/>
          <w:szCs w:val="28"/>
        </w:rPr>
        <w:t>Конышевского</w:t>
      </w:r>
      <w:proofErr w:type="spellEnd"/>
      <w:r w:rsidRPr="00A67CE9">
        <w:rPr>
          <w:b/>
          <w:sz w:val="28"/>
          <w:szCs w:val="28"/>
        </w:rPr>
        <w:t xml:space="preserve"> района Курской области на 2021-2023годы»</w:t>
      </w:r>
    </w:p>
    <w:p w:rsidR="00716C25" w:rsidRPr="00A67CE9" w:rsidRDefault="00716C25" w:rsidP="00716C25">
      <w:pPr>
        <w:jc w:val="center"/>
        <w:rPr>
          <w:b/>
        </w:rPr>
      </w:pPr>
    </w:p>
    <w:p w:rsidR="00716C25" w:rsidRPr="00A67CE9" w:rsidRDefault="00716C25" w:rsidP="00716C25">
      <w:pPr>
        <w:rPr>
          <w:b/>
        </w:rPr>
      </w:pPr>
    </w:p>
    <w:p w:rsidR="00716C25" w:rsidRPr="00A67CE9" w:rsidRDefault="00716C25" w:rsidP="00716C25">
      <w:pPr>
        <w:jc w:val="both"/>
        <w:rPr>
          <w:sz w:val="28"/>
          <w:szCs w:val="28"/>
        </w:rPr>
      </w:pPr>
      <w:r w:rsidRPr="00A67CE9">
        <w:rPr>
          <w:b/>
        </w:rPr>
        <w:tab/>
      </w:r>
      <w:proofErr w:type="gramStart"/>
      <w:r w:rsidRPr="00A67CE9">
        <w:rPr>
          <w:sz w:val="28"/>
          <w:szCs w:val="28"/>
        </w:rPr>
        <w:t xml:space="preserve">В соответствии  с Федеральным законом от 02.03.2007г. №25-ФЗ «О муниципальной службе в Российской Федерации», распоряжением Губернатора Курской области от 16.09.2014г. №637-рг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самоуправления» и в целях дальнейшего развития и совершенствования муниципальной службы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Курской области  Администрация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proofErr w:type="gramEnd"/>
      <w:r w:rsidRPr="00A67CE9">
        <w:rPr>
          <w:sz w:val="28"/>
          <w:szCs w:val="28"/>
        </w:rPr>
        <w:t xml:space="preserve"> района Курской области </w:t>
      </w:r>
      <w:r w:rsidRPr="00A67CE9">
        <w:rPr>
          <w:b/>
          <w:sz w:val="28"/>
          <w:szCs w:val="28"/>
        </w:rPr>
        <w:t>ПОСТАНОВЛЯЕТ:</w:t>
      </w:r>
    </w:p>
    <w:p w:rsidR="00716C25" w:rsidRPr="00A67CE9" w:rsidRDefault="00716C25" w:rsidP="00716C25">
      <w:pPr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  <w:t xml:space="preserve">1. Утвердить прилагаемую муниципальную программу «Развитие муниципальной службы в </w:t>
      </w:r>
      <w:proofErr w:type="spellStart"/>
      <w:r w:rsidRPr="00A67CE9">
        <w:rPr>
          <w:sz w:val="28"/>
          <w:szCs w:val="28"/>
        </w:rPr>
        <w:t>Старобелицком</w:t>
      </w:r>
      <w:proofErr w:type="spellEnd"/>
      <w:r w:rsidRPr="00A67CE9">
        <w:rPr>
          <w:sz w:val="28"/>
          <w:szCs w:val="28"/>
        </w:rPr>
        <w:t xml:space="preserve"> сельсовете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Курской области на 2021-2023 годы».</w:t>
      </w:r>
    </w:p>
    <w:p w:rsidR="00716C25" w:rsidRPr="00A67CE9" w:rsidRDefault="00716C25" w:rsidP="00716C25">
      <w:pPr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  <w:t>2.</w:t>
      </w:r>
      <w:proofErr w:type="gramStart"/>
      <w:r w:rsidRPr="00A67CE9">
        <w:rPr>
          <w:sz w:val="28"/>
          <w:szCs w:val="28"/>
        </w:rPr>
        <w:t>Контроль за</w:t>
      </w:r>
      <w:proofErr w:type="gramEnd"/>
      <w:r w:rsidRPr="00A67CE9">
        <w:rPr>
          <w:sz w:val="28"/>
          <w:szCs w:val="28"/>
        </w:rPr>
        <w:t xml:space="preserve"> исполнением настоящего постановления  оставляю за собой</w:t>
      </w:r>
    </w:p>
    <w:p w:rsidR="00716C25" w:rsidRPr="00A67CE9" w:rsidRDefault="00716C25" w:rsidP="00716C25">
      <w:pPr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  <w:t>3. Постановление  вступает в силу со дня его подписания.</w:t>
      </w:r>
    </w:p>
    <w:p w:rsidR="00716C25" w:rsidRPr="00A67CE9" w:rsidRDefault="00716C25" w:rsidP="00716C25">
      <w:pPr>
        <w:rPr>
          <w:b/>
          <w:sz w:val="28"/>
          <w:szCs w:val="28"/>
        </w:rPr>
      </w:pPr>
    </w:p>
    <w:p w:rsidR="00716C25" w:rsidRPr="00A67CE9" w:rsidRDefault="00716C25" w:rsidP="00716C25">
      <w:pPr>
        <w:rPr>
          <w:b/>
          <w:sz w:val="28"/>
          <w:szCs w:val="28"/>
        </w:rPr>
      </w:pPr>
    </w:p>
    <w:p w:rsidR="00716C25" w:rsidRPr="00A67CE9" w:rsidRDefault="00716C25" w:rsidP="00716C25">
      <w:pPr>
        <w:jc w:val="both"/>
        <w:rPr>
          <w:sz w:val="28"/>
          <w:szCs w:val="28"/>
        </w:rPr>
      </w:pPr>
      <w:r w:rsidRPr="00A67CE9">
        <w:rPr>
          <w:i/>
          <w:sz w:val="28"/>
          <w:szCs w:val="28"/>
        </w:rPr>
        <w:t xml:space="preserve"> </w:t>
      </w:r>
      <w:r w:rsidRPr="00A67CE9">
        <w:rPr>
          <w:sz w:val="28"/>
          <w:szCs w:val="28"/>
        </w:rPr>
        <w:t xml:space="preserve">Глава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</w:t>
      </w:r>
    </w:p>
    <w:p w:rsidR="00716C25" w:rsidRPr="00A67CE9" w:rsidRDefault="00716C25" w:rsidP="00716C25">
      <w:pPr>
        <w:jc w:val="both"/>
        <w:rPr>
          <w:sz w:val="28"/>
          <w:szCs w:val="28"/>
        </w:rPr>
      </w:pPr>
      <w:r w:rsidRPr="00A67CE9">
        <w:rPr>
          <w:sz w:val="28"/>
          <w:szCs w:val="28"/>
        </w:rPr>
        <w:t xml:space="preserve">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                                                  </w:t>
      </w:r>
      <w:proofErr w:type="spellStart"/>
      <w:r w:rsidRPr="00A67CE9">
        <w:rPr>
          <w:sz w:val="28"/>
          <w:szCs w:val="28"/>
        </w:rPr>
        <w:t>В.М.Высоцкий</w:t>
      </w:r>
      <w:proofErr w:type="spellEnd"/>
    </w:p>
    <w:p w:rsidR="00716C25" w:rsidRPr="00A67CE9" w:rsidRDefault="00716C25" w:rsidP="00716C25">
      <w:pPr>
        <w:jc w:val="both"/>
        <w:rPr>
          <w:sz w:val="28"/>
          <w:szCs w:val="28"/>
        </w:rPr>
      </w:pPr>
    </w:p>
    <w:p w:rsidR="00716C25" w:rsidRPr="00A67CE9" w:rsidRDefault="00716C25" w:rsidP="00716C25">
      <w:pPr>
        <w:jc w:val="both"/>
        <w:rPr>
          <w:sz w:val="28"/>
          <w:szCs w:val="28"/>
        </w:rPr>
      </w:pPr>
    </w:p>
    <w:p w:rsidR="00716C25" w:rsidRPr="00A67CE9" w:rsidRDefault="00716C25" w:rsidP="00716C25">
      <w:pPr>
        <w:jc w:val="both"/>
        <w:rPr>
          <w:sz w:val="28"/>
          <w:szCs w:val="28"/>
        </w:rPr>
      </w:pPr>
    </w:p>
    <w:p w:rsidR="00716C25" w:rsidRPr="00A67CE9" w:rsidRDefault="00716C25" w:rsidP="00716C25">
      <w:pPr>
        <w:jc w:val="both"/>
        <w:rPr>
          <w:sz w:val="28"/>
          <w:szCs w:val="28"/>
        </w:rPr>
      </w:pPr>
    </w:p>
    <w:p w:rsidR="00716C25" w:rsidRPr="00A67CE9" w:rsidRDefault="00716C25" w:rsidP="00716C25">
      <w:pPr>
        <w:jc w:val="both"/>
        <w:rPr>
          <w:sz w:val="28"/>
          <w:szCs w:val="28"/>
        </w:rPr>
      </w:pPr>
    </w:p>
    <w:p w:rsidR="00716C25" w:rsidRPr="00A67CE9" w:rsidRDefault="00716C25" w:rsidP="00716C25">
      <w:pPr>
        <w:jc w:val="both"/>
        <w:rPr>
          <w:sz w:val="28"/>
          <w:szCs w:val="28"/>
        </w:rPr>
      </w:pPr>
    </w:p>
    <w:p w:rsidR="00716C25" w:rsidRPr="00A67CE9" w:rsidRDefault="00716C25" w:rsidP="00716C25">
      <w:pPr>
        <w:jc w:val="both"/>
        <w:rPr>
          <w:sz w:val="28"/>
          <w:szCs w:val="28"/>
        </w:rPr>
      </w:pPr>
    </w:p>
    <w:p w:rsidR="00716C25" w:rsidRPr="00A67CE9" w:rsidRDefault="00716C25" w:rsidP="00716C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7CE9">
        <w:rPr>
          <w:b/>
          <w:sz w:val="28"/>
          <w:szCs w:val="28"/>
        </w:rPr>
        <w:lastRenderedPageBreak/>
        <w:t>ПАСПОРТ</w:t>
      </w:r>
      <w:r w:rsidRPr="00A67CE9">
        <w:rPr>
          <w:sz w:val="28"/>
          <w:szCs w:val="28"/>
        </w:rPr>
        <w:t xml:space="preserve"> </w:t>
      </w:r>
    </w:p>
    <w:p w:rsidR="00716C25" w:rsidRPr="00A67CE9" w:rsidRDefault="00716C25" w:rsidP="00716C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муниципальной  программы «Развитие муниципальной службы</w:t>
      </w:r>
    </w:p>
    <w:p w:rsidR="00716C25" w:rsidRPr="00A67CE9" w:rsidRDefault="00716C25" w:rsidP="00716C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в </w:t>
      </w:r>
      <w:proofErr w:type="spellStart"/>
      <w:r w:rsidRPr="00A67CE9">
        <w:rPr>
          <w:b/>
          <w:sz w:val="28"/>
          <w:szCs w:val="28"/>
        </w:rPr>
        <w:t>Старобелицком</w:t>
      </w:r>
      <w:proofErr w:type="spellEnd"/>
      <w:r w:rsidRPr="00A67CE9">
        <w:rPr>
          <w:b/>
          <w:sz w:val="28"/>
          <w:szCs w:val="28"/>
        </w:rPr>
        <w:t xml:space="preserve"> сельсовете </w:t>
      </w:r>
      <w:proofErr w:type="spellStart"/>
      <w:r w:rsidRPr="00A67CE9">
        <w:rPr>
          <w:b/>
          <w:sz w:val="28"/>
          <w:szCs w:val="28"/>
        </w:rPr>
        <w:t>Конышевского</w:t>
      </w:r>
      <w:proofErr w:type="spellEnd"/>
      <w:r w:rsidRPr="00A67CE9">
        <w:rPr>
          <w:b/>
          <w:sz w:val="28"/>
          <w:szCs w:val="28"/>
        </w:rPr>
        <w:t xml:space="preserve"> района Курской области </w:t>
      </w:r>
    </w:p>
    <w:p w:rsidR="00716C25" w:rsidRPr="00A67CE9" w:rsidRDefault="00716C25" w:rsidP="00716C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на 2021 - 2023 годы»</w:t>
      </w:r>
    </w:p>
    <w:p w:rsidR="00716C25" w:rsidRPr="00A67CE9" w:rsidRDefault="00716C25" w:rsidP="00716C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1"/>
      </w:tblGrid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-муниципальная программа «Развитие муниципальной службы в </w:t>
            </w:r>
            <w:proofErr w:type="spellStart"/>
            <w:r w:rsidRPr="00A67CE9">
              <w:rPr>
                <w:sz w:val="28"/>
                <w:szCs w:val="28"/>
              </w:rPr>
              <w:t>Старобелицком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 Курской области на 2021- 2023 годы»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Основание для          </w:t>
            </w:r>
            <w:r w:rsidRPr="00A67CE9">
              <w:rPr>
                <w:sz w:val="28"/>
                <w:szCs w:val="28"/>
              </w:rPr>
              <w:br/>
              <w:t xml:space="preserve">разработки Программы   </w:t>
            </w:r>
          </w:p>
        </w:tc>
        <w:tc>
          <w:tcPr>
            <w:tcW w:w="4856" w:type="dxa"/>
          </w:tcPr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-Федеральный закон от 2 марта 2007 года N 25-ФЗ  «О муниципальной службе в Российской Федерации»; распоряжение Губернатора Курской области от 16.09.2014г. №697-рг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самоуправления»;</w:t>
            </w:r>
          </w:p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</w:t>
            </w:r>
          </w:p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Исполнитель-координатор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Основной разработчик  </w:t>
            </w: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-целью муниципальной  Программы является: 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-создание условий для эффективного развития местного   самоуправления в </w:t>
            </w:r>
            <w:proofErr w:type="spellStart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>Старобелицком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Конышевском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районе; 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Основные задачи Программы: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развитие нормативной правовой базы, регулирующей вопросы муниципальной службы;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обеспечение взаимосвязи государственной гражданской службы </w:t>
            </w:r>
            <w:proofErr w:type="gramStart"/>
            <w:r w:rsidRPr="00A67CE9">
              <w:rPr>
                <w:rFonts w:eastAsia="Lucida Sans Unicode"/>
                <w:sz w:val="28"/>
                <w:szCs w:val="28"/>
                <w:lang w:val="en-US" w:eastAsia="en-US" w:bidi="ru-RU"/>
              </w:rPr>
              <w:t>K</w:t>
            </w:r>
            <w:proofErr w:type="spellStart"/>
            <w:proofErr w:type="gram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>урской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 xml:space="preserve">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области и муниципальной службы в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>Старобелицком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района,  </w:t>
            </w:r>
            <w:r w:rsidRPr="00A67CE9">
              <w:rPr>
                <w:rFonts w:eastAsia="Lucida Sans Unicode"/>
                <w:i/>
                <w:iCs/>
                <w:noProof/>
                <w:sz w:val="28"/>
                <w:szCs w:val="28"/>
                <w:lang w:bidi="ru-RU"/>
              </w:rPr>
              <w:tab/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формирование эффективной системы управления муниципальной службой</w:t>
            </w:r>
          </w:p>
        </w:tc>
      </w:tr>
      <w:tr w:rsidR="00716C25" w:rsidRPr="00A67CE9" w:rsidTr="00754BA1">
        <w:tc>
          <w:tcPr>
            <w:tcW w:w="4855" w:type="dxa"/>
          </w:tcPr>
          <w:p w:rsidR="00716C25" w:rsidRPr="00A67CE9" w:rsidRDefault="00716C25" w:rsidP="00754BA1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Важнейшие целевые индикаторы и показатели Программы</w:t>
            </w:r>
          </w:p>
          <w:p w:rsidR="00716C25" w:rsidRPr="00A67CE9" w:rsidRDefault="00716C25" w:rsidP="00754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tabs>
                <w:tab w:val="left" w:pos="250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-количество муниципальных служащих, прошедших переподготовку и повышение квалификации;</w:t>
            </w:r>
          </w:p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количество муниципальных служащих, имеющих высшее профессиональное образование;</w:t>
            </w:r>
          </w:p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доля вакантных должностей муниципальной службы, замещаемых на основе назначения из кадрового резерва, от числа назначений 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Сроки и этапы реализации Программы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1 этап – 2021-2022</w:t>
            </w:r>
          </w:p>
          <w:p w:rsidR="00716C25" w:rsidRPr="00A67CE9" w:rsidRDefault="00716C25" w:rsidP="00754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 этап – 2022-2023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Перечень основных мероприятий Программы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-программные мероприятия включают в себя следующие направления: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разработка методических рекомендаций, правовых актов по вопросам муниципальной службы; </w:t>
            </w:r>
          </w:p>
          <w:p w:rsidR="00716C25" w:rsidRPr="00A67CE9" w:rsidRDefault="00716C25" w:rsidP="00754B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организация обучения лиц, замещающих выборные муниципальные должности, муниципальных служащих;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-организация и проведение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-мониторинг внутренних и внешних источников формирования резерва муниципальных служащих;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-повышение квалификации муниципальных служащих, включенных в кадровый резерв Курской области; 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-участие в ежегодном областном конкурсе «Лучший муниципальный служащий Курской области»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Исполнители мероприятий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  Администрация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>Старобелицкого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сельсовета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Объемы и источники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финансирования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-общий объем финансирования Программы составляет 9000  руб., в том числе:</w:t>
            </w:r>
          </w:p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 2021 году – 3000 руб.</w:t>
            </w:r>
          </w:p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 2022 году – 3000  руб.</w:t>
            </w:r>
          </w:p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 2023 году – 3000  руб.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Система организации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</w:r>
            <w:proofErr w:type="gram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контроля за</w:t>
            </w:r>
            <w:proofErr w:type="gram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исполнением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proofErr w:type="gram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контроль  за</w:t>
            </w:r>
            <w:proofErr w:type="gram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 исполнением,  качеством  и   сроками реализации  мероприятий  Программы,  своевременным представлением аналитической информации о ходе  ее выполнения осуществляет управление делами Администрации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Старобелицкого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716C25" w:rsidRPr="00A67CE9" w:rsidTr="00754BA1">
        <w:tc>
          <w:tcPr>
            <w:tcW w:w="4855" w:type="dxa"/>
            <w:hideMark/>
          </w:tcPr>
          <w:p w:rsidR="00716C25" w:rsidRPr="00A67CE9" w:rsidRDefault="00716C25" w:rsidP="00754BA1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Ожидаемые конечные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результаты реализации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и показатели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эффективности 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реализации Программы   </w:t>
            </w:r>
          </w:p>
        </w:tc>
        <w:tc>
          <w:tcPr>
            <w:tcW w:w="4856" w:type="dxa"/>
            <w:hideMark/>
          </w:tcPr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-повышение эффективности и результативности муниципальной службы;</w:t>
            </w:r>
          </w:p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 переподготовка и повышение квалификации   муниципальных служащих;</w:t>
            </w:r>
          </w:p>
          <w:p w:rsidR="00716C25" w:rsidRPr="00A67CE9" w:rsidRDefault="00716C25" w:rsidP="00754BA1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внедрение методик по проведению мониторингов по оценке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деятельности муниципальных служащих органов местного самоуправления;</w:t>
            </w:r>
          </w:p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35%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16C25" w:rsidRPr="00A67CE9" w:rsidRDefault="00716C25" w:rsidP="00754BA1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5 %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716C25" w:rsidRPr="00A67CE9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Pr="00A67CE9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Pr="00A67CE9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Pr="00A67CE9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Pr="00A67CE9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Pr="00A67CE9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716C25" w:rsidRDefault="00716C25" w:rsidP="00716C25">
      <w:pPr>
        <w:autoSpaceDE w:val="0"/>
        <w:autoSpaceDN w:val="0"/>
        <w:adjustRightInd w:val="0"/>
        <w:rPr>
          <w:sz w:val="28"/>
          <w:szCs w:val="28"/>
        </w:rPr>
      </w:pPr>
    </w:p>
    <w:p w:rsidR="00471D39" w:rsidRDefault="00471D39"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B"/>
    <w:rsid w:val="00471D39"/>
    <w:rsid w:val="00716C25"/>
    <w:rsid w:val="00E4405B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C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5066</Characters>
  <Application>Microsoft Office Word</Application>
  <DocSecurity>0</DocSecurity>
  <Lines>42</Lines>
  <Paragraphs>11</Paragraphs>
  <ScaleCrop>false</ScaleCrop>
  <Company>*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2021-02-12T11:09:00Z</dcterms:created>
  <dcterms:modified xsi:type="dcterms:W3CDTF">2021-02-12T11:10:00Z</dcterms:modified>
</cp:coreProperties>
</file>