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83" w:rsidRDefault="005A5383" w:rsidP="005A53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Экспертное заключение</w:t>
      </w:r>
    </w:p>
    <w:p w:rsidR="005A5383" w:rsidRDefault="005A5383" w:rsidP="005A538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5A5383" w:rsidRDefault="005A5383" w:rsidP="005A538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A5383" w:rsidRDefault="005A5383" w:rsidP="005A5383">
      <w:pPr>
        <w:spacing w:after="0" w:line="240" w:lineRule="auto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</w:p>
    <w:p w:rsidR="005A5383" w:rsidRDefault="005A5383" w:rsidP="005A538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</w:t>
      </w:r>
      <w:r w:rsidR="001965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Курской области муниципальной услуги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</w:t>
      </w:r>
      <w:r w:rsidR="00E246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Курской области.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 итогам сообщаем следующее.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</w:t>
      </w:r>
      <w:r w:rsidR="00E246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Курской области  (далее – Администрация).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Для проведения экспертизы представлены: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административного регламента;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пояснительная записка к проекту административного регламента.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</w:t>
      </w:r>
      <w:r w:rsidR="00E246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Курской области в разделе "</w:t>
      </w:r>
      <w:r w:rsidR="00E246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>Административные регламенты" в информационно-коммуникационной сети "Интернет"  «04» «июня» 2018 года с указанием срока проведения независимой экспертизы до «04» «июня» 2018 года.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Замечания на проект административного регламента:</w:t>
      </w:r>
    </w:p>
    <w:p w:rsidR="005A5383" w:rsidRDefault="005A5383" w:rsidP="005A53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1.Пункт 2.2.1. дополнить следующими словами «(далее – Администрация)».</w:t>
      </w:r>
    </w:p>
    <w:p w:rsidR="005A5383" w:rsidRDefault="005A5383" w:rsidP="005A5383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ункт 2.8. изложить в следующей редакции:</w:t>
      </w:r>
    </w:p>
    <w:p w:rsidR="005A5383" w:rsidRDefault="005A5383" w:rsidP="005A53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</w:rPr>
        <w:t>Не допускается требовать от заявителя:</w:t>
      </w:r>
    </w:p>
    <w:p w:rsidR="005A5383" w:rsidRDefault="005A5383" w:rsidP="005A53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муниципальных услуг».</w:t>
      </w:r>
    </w:p>
    <w:p w:rsidR="005A5383" w:rsidRDefault="005A5383" w:rsidP="005A538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3. </w:t>
      </w:r>
      <w:r>
        <w:rPr>
          <w:rFonts w:ascii="Times New Roman" w:hAnsi="Times New Roman" w:cs="Times New Roman"/>
          <w:color w:val="auto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 плата с заявителя не взимается».</w:t>
      </w:r>
    </w:p>
    <w:p w:rsidR="005A5383" w:rsidRDefault="005A5383" w:rsidP="005A5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раздела и подразделов досудебного (внесудебного) порядка обжалования изложить в соответствии с Правилами разработки и утверждения административных регламентов предоставления муниципальных услуг, утвержденных  постановлением Администрации </w:t>
      </w:r>
      <w:r w:rsidRPr="005A53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Курской области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от22.06.2012г.№30  «О  порядке разработке и утверждения административных регламентов предоставления муниципальных услуг» (далее - Правила разработки административных регламентов».</w:t>
      </w:r>
      <w:proofErr w:type="gramEnd"/>
    </w:p>
    <w:p w:rsidR="005A5383" w:rsidRDefault="005A5383" w:rsidP="005A5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  В наименовании пятого раздела: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исключить.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6.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7.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решения и действия (бездействия) Администрации и (или) ее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Пункт 5.2., с учетом того, что данная услуга в МФЦ не предоставляется, изложить в следующей редакции: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Заявитель может обратиться с жалобой, в том числе в следующих случаях: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услуги. 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услуги; 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>, у заявителя;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6)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5A5383" w:rsidRDefault="005A5383" w:rsidP="005A53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A5383" w:rsidRDefault="005A5383" w:rsidP="005A53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услуги;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актами».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10. Пункт 5.3. изложить в следующей редакции: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Администрацию. 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Жалобы рассматривают: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11. Пункт 5.4. изложить в следующей редакции: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услугу.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Жалоба должна содержать: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6"/>
          <w:szCs w:val="26"/>
        </w:rPr>
        <w:t>служащего;</w:t>
      </w:r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</w:t>
      </w:r>
      <w:r>
        <w:rPr>
          <w:rFonts w:ascii="Times New Roman" w:hAnsi="Times New Roman" w:cs="Times New Roman"/>
          <w:color w:val="auto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12. Пункт 5.5. изложить в следующей редакции:</w:t>
      </w:r>
    </w:p>
    <w:p w:rsidR="005A5383" w:rsidRDefault="005A5383" w:rsidP="005A5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5A5383" w:rsidRDefault="005A5383" w:rsidP="005A53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13.  В пункте 5.9. в связи с замечаниями  прокуратуры Курской области на аналогичное изложение,  слова «а также в судебном порядке в соответствии с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гражданским процессуальным законодательством Российской Федерации» исключить.</w:t>
      </w:r>
    </w:p>
    <w:p w:rsidR="005A5383" w:rsidRDefault="005A5383" w:rsidP="005A5383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A5383" w:rsidRDefault="005A5383" w:rsidP="005A5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6"/>
          <w:szCs w:val="26"/>
        </w:rPr>
      </w:pPr>
    </w:p>
    <w:p w:rsidR="005A5383" w:rsidRDefault="005A5383" w:rsidP="005A53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5A5383" w:rsidRDefault="005A5383" w:rsidP="005A53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A5383" w:rsidRDefault="005A5383" w:rsidP="005A53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Зам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</w:t>
      </w:r>
    </w:p>
    <w:p w:rsidR="005A5383" w:rsidRDefault="005A5383" w:rsidP="005A53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Хабарова М.Г.</w:t>
      </w:r>
    </w:p>
    <w:p w:rsidR="005A5383" w:rsidRDefault="005A5383" w:rsidP="005A53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A5383" w:rsidRDefault="005A5383" w:rsidP="005A53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Хабарова М.Г.</w:t>
      </w:r>
    </w:p>
    <w:p w:rsidR="005A5383" w:rsidRDefault="005A5383" w:rsidP="005A5383">
      <w:p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8(47156)36-3-60</w:t>
      </w:r>
    </w:p>
    <w:p w:rsidR="005A5383" w:rsidRDefault="005A5383" w:rsidP="005A5383">
      <w:pPr>
        <w:rPr>
          <w:color w:val="auto"/>
        </w:rPr>
      </w:pPr>
    </w:p>
    <w:p w:rsidR="00B85604" w:rsidRDefault="00B85604" w:rsidP="00B85604"/>
    <w:sectPr w:rsidR="00B8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7C"/>
    <w:rsid w:val="00011C64"/>
    <w:rsid w:val="0019652F"/>
    <w:rsid w:val="003646CA"/>
    <w:rsid w:val="0056359C"/>
    <w:rsid w:val="005A5383"/>
    <w:rsid w:val="006C427C"/>
    <w:rsid w:val="006D5C9F"/>
    <w:rsid w:val="00B85604"/>
    <w:rsid w:val="00DB0D1A"/>
    <w:rsid w:val="00E24663"/>
    <w:rsid w:val="00F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53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5A5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53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5A5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2018-06-04T09:10:00Z</dcterms:created>
  <dcterms:modified xsi:type="dcterms:W3CDTF">2018-06-05T14:39:00Z</dcterms:modified>
</cp:coreProperties>
</file>